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20F" w:rsidRDefault="00DA620F">
      <w:r>
        <w:t>Informacja dotycząca uwzględnienia uwag zawartych w opinii GKUA: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>Usunięto definicje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>Skorygowano zapis tak, aby definicja była kompatybilna z definicjami w pkt 7 i 9 – ustalono odniesienie do terenu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>Skorygowano zapis – użyto określenie ustalenia planu tak, jak na rysunku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>Usunięto oznaczenie zasięgu terenów poza obszarem zmiany planu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>Usunięto zapis dotyczący ponadnormatywnych oddziaływań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>Wprowadzono określenie Ustala się zamiast uwzględnia się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>Uzupełniono zapis o komunikację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>Uzupełniono zapis dotyczący obsługi komunikacyjnej</w:t>
      </w:r>
    </w:p>
    <w:p w:rsidR="00DA620F" w:rsidRDefault="00DA620F" w:rsidP="00DA620F">
      <w:pPr>
        <w:pStyle w:val="Akapitzlist"/>
        <w:numPr>
          <w:ilvl w:val="0"/>
          <w:numId w:val="1"/>
        </w:numPr>
      </w:pPr>
      <w:r>
        <w:t xml:space="preserve">Magazynowanie odpadów zgodnie z ustawą o odpadach oznacza </w:t>
      </w:r>
      <w:r>
        <w:t>czasowe przechowywanie odpadów</w:t>
      </w:r>
      <w:r>
        <w:t xml:space="preserve">, w szczególności </w:t>
      </w:r>
      <w:r>
        <w:t xml:space="preserve">wstępne </w:t>
      </w:r>
      <w:r>
        <w:rPr>
          <w:rStyle w:val="highlight"/>
        </w:rPr>
        <w:t>magaz</w:t>
      </w:r>
      <w:r>
        <w:t>ynowanie odpadów przez ich wytwórcę</w:t>
      </w:r>
      <w:r>
        <w:t>, składowanie odpadów jest natomiast pojęciem oznaczającym stałe zdeponowanie odpadów (np. na składowisku). Ustalenie dopuszczenia magazynowania odpadów nie jest więc sprzeczne z zakazem składowania odpadów. Dopuszczenie magazynowania odpadów własnych jest konieczne – w terenie UP/ot będą powstawały odpady komunalne, które muszą być magazynowane do czasu ich odbioru</w:t>
      </w:r>
      <w:r w:rsidR="004E3977">
        <w:t xml:space="preserve"> przez uprawnionego operatora</w:t>
      </w:r>
      <w:r>
        <w:t>.</w:t>
      </w:r>
      <w:r w:rsidR="004E3977">
        <w:t xml:space="preserve"> Budzący wątpliwości zapis dotyczący wyznaczonych miejsc magazynowania odpadów został usunięty.</w:t>
      </w:r>
    </w:p>
    <w:p w:rsidR="004E3977" w:rsidRDefault="004E3977" w:rsidP="004E3977">
      <w:pPr>
        <w:pStyle w:val="Akapitzlist"/>
        <w:numPr>
          <w:ilvl w:val="0"/>
          <w:numId w:val="1"/>
        </w:numPr>
      </w:pPr>
      <w:r>
        <w:t>Usunięto zapis dotyczący ogrodzeń. Zapisy dotyczące kolorystyki obiektów budowlanych utrzymano na podstawie art. 15 ust. 3 pkt 8.</w:t>
      </w:r>
      <w:bookmarkStart w:id="0" w:name="_GoBack"/>
      <w:bookmarkEnd w:id="0"/>
      <w:r>
        <w:t xml:space="preserve"> </w:t>
      </w:r>
    </w:p>
    <w:sectPr w:rsidR="004E3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56293"/>
    <w:multiLevelType w:val="hybridMultilevel"/>
    <w:tmpl w:val="6F3A8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0F"/>
    <w:rsid w:val="004E3977"/>
    <w:rsid w:val="00D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0D4F"/>
  <w15:chartTrackingRefBased/>
  <w15:docId w15:val="{76067695-13AD-43C2-A6B5-FCAC74D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20F"/>
    <w:pPr>
      <w:ind w:left="720"/>
      <w:contextualSpacing/>
    </w:pPr>
  </w:style>
  <w:style w:type="character" w:customStyle="1" w:styleId="highlight">
    <w:name w:val="highlight"/>
    <w:basedOn w:val="Domylnaczcionkaakapitu"/>
    <w:rsid w:val="00DA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Rozenau-Rybowicz</dc:creator>
  <cp:keywords/>
  <dc:description/>
  <cp:lastModifiedBy>Agnieszka Rozenau-Rybowicz</cp:lastModifiedBy>
  <cp:revision>1</cp:revision>
  <dcterms:created xsi:type="dcterms:W3CDTF">2020-02-10T13:14:00Z</dcterms:created>
  <dcterms:modified xsi:type="dcterms:W3CDTF">2020-02-10T13:29:00Z</dcterms:modified>
</cp:coreProperties>
</file>